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379A" w14:textId="77777777" w:rsidR="00376505" w:rsidRDefault="00F35AAC">
      <w:pPr>
        <w:rPr>
          <w:b/>
          <w:sz w:val="42"/>
          <w:szCs w:val="42"/>
          <w:u w:val="single"/>
        </w:rPr>
      </w:pPr>
      <w:r>
        <w:rPr>
          <w:b/>
          <w:sz w:val="42"/>
          <w:szCs w:val="42"/>
          <w:u w:val="single"/>
        </w:rPr>
        <w:t>Navi (</w:t>
      </w:r>
      <w:proofErr w:type="spellStart"/>
      <w:r>
        <w:rPr>
          <w:b/>
          <w:sz w:val="42"/>
          <w:szCs w:val="42"/>
          <w:u w:val="single"/>
        </w:rPr>
        <w:t>InvestCloud</w:t>
      </w:r>
      <w:proofErr w:type="spellEnd"/>
      <w:r>
        <w:rPr>
          <w:b/>
          <w:sz w:val="42"/>
          <w:szCs w:val="42"/>
          <w:u w:val="single"/>
        </w:rPr>
        <w:t>) - Setting up RESP Plans</w:t>
      </w:r>
    </w:p>
    <w:p w14:paraId="2703EDE2" w14:textId="77777777" w:rsidR="00376505" w:rsidRDefault="00376505"/>
    <w:p w14:paraId="5CC9AFE5" w14:textId="4DE42BBB" w:rsidR="00376505" w:rsidRDefault="00F35AAC">
      <w:pPr>
        <w:rPr>
          <w:sz w:val="28"/>
          <w:szCs w:val="28"/>
        </w:rPr>
      </w:pPr>
      <w:r>
        <w:rPr>
          <w:sz w:val="28"/>
          <w:szCs w:val="28"/>
        </w:rPr>
        <w:t xml:space="preserve">Navi has an excellent program to establish RESP plans for your clients. In addition to setting up the plan with </w:t>
      </w:r>
      <w:r w:rsidR="009D66AA">
        <w:rPr>
          <w:sz w:val="28"/>
          <w:szCs w:val="28"/>
        </w:rPr>
        <w:t xml:space="preserve">the </w:t>
      </w:r>
      <w:r>
        <w:rPr>
          <w:sz w:val="28"/>
          <w:szCs w:val="28"/>
        </w:rPr>
        <w:t xml:space="preserve">CESG, we also need to explain to our clients the need to start saving early.    </w:t>
      </w:r>
    </w:p>
    <w:p w14:paraId="406DD841" w14:textId="77777777" w:rsidR="00376505" w:rsidRDefault="00376505">
      <w:pPr>
        <w:rPr>
          <w:sz w:val="28"/>
          <w:szCs w:val="28"/>
        </w:rPr>
      </w:pPr>
    </w:p>
    <w:p w14:paraId="510E1D50" w14:textId="3DE2227F" w:rsidR="00376505" w:rsidRDefault="00F35AAC">
      <w:pPr>
        <w:rPr>
          <w:sz w:val="28"/>
          <w:szCs w:val="28"/>
        </w:rPr>
      </w:pPr>
      <w:r>
        <w:rPr>
          <w:sz w:val="28"/>
          <w:szCs w:val="28"/>
        </w:rPr>
        <w:t xml:space="preserve">There are many variables to establishing a savings plan for </w:t>
      </w:r>
      <w:r w:rsidR="009D66AA">
        <w:rPr>
          <w:sz w:val="28"/>
          <w:szCs w:val="28"/>
        </w:rPr>
        <w:t>post-secondary</w:t>
      </w:r>
      <w:r>
        <w:rPr>
          <w:sz w:val="28"/>
          <w:szCs w:val="28"/>
        </w:rPr>
        <w:t xml:space="preserve"> education including:</w:t>
      </w:r>
    </w:p>
    <w:p w14:paraId="25876EE4" w14:textId="77777777" w:rsidR="00376505" w:rsidRDefault="00376505">
      <w:pPr>
        <w:rPr>
          <w:sz w:val="28"/>
          <w:szCs w:val="28"/>
        </w:rPr>
      </w:pPr>
    </w:p>
    <w:p w14:paraId="57B5D8B9" w14:textId="15E29961" w:rsidR="00376505" w:rsidRDefault="00F35AAC">
      <w:pPr>
        <w:numPr>
          <w:ilvl w:val="0"/>
          <w:numId w:val="1"/>
        </w:numPr>
        <w:rPr>
          <w:sz w:val="28"/>
          <w:szCs w:val="28"/>
        </w:rPr>
      </w:pPr>
      <w:r>
        <w:rPr>
          <w:sz w:val="28"/>
          <w:szCs w:val="28"/>
        </w:rPr>
        <w:t xml:space="preserve">The rising costs of </w:t>
      </w:r>
      <w:r w:rsidR="009D66AA">
        <w:rPr>
          <w:sz w:val="28"/>
          <w:szCs w:val="28"/>
        </w:rPr>
        <w:t>post-secondary</w:t>
      </w:r>
      <w:r>
        <w:rPr>
          <w:sz w:val="28"/>
          <w:szCs w:val="28"/>
        </w:rPr>
        <w:t xml:space="preserve"> education.   We recommend that a rate of 2% plus the current inflation rate be used.</w:t>
      </w:r>
    </w:p>
    <w:p w14:paraId="76481E60" w14:textId="77777777" w:rsidR="00376505" w:rsidRDefault="00F35AAC">
      <w:pPr>
        <w:numPr>
          <w:ilvl w:val="0"/>
          <w:numId w:val="1"/>
        </w:numPr>
        <w:rPr>
          <w:sz w:val="28"/>
          <w:szCs w:val="28"/>
        </w:rPr>
      </w:pPr>
      <w:r>
        <w:rPr>
          <w:sz w:val="28"/>
          <w:szCs w:val="28"/>
        </w:rPr>
        <w:t xml:space="preserve">You need to ensure your client will secure the maximum in government grants.    </w:t>
      </w:r>
    </w:p>
    <w:p w14:paraId="47C23BAA" w14:textId="4DCC99F6" w:rsidR="00376505" w:rsidRDefault="00F35AAC">
      <w:pPr>
        <w:numPr>
          <w:ilvl w:val="0"/>
          <w:numId w:val="1"/>
        </w:numPr>
        <w:rPr>
          <w:sz w:val="28"/>
          <w:szCs w:val="28"/>
        </w:rPr>
      </w:pPr>
      <w:r>
        <w:rPr>
          <w:sz w:val="28"/>
          <w:szCs w:val="28"/>
        </w:rPr>
        <w:t xml:space="preserve">A significant portion of the education funding is the cost of living.  This will vary depending on the location of the college/university their child is attending.  Many students </w:t>
      </w:r>
      <w:r w:rsidR="009D66AA">
        <w:rPr>
          <w:sz w:val="28"/>
          <w:szCs w:val="28"/>
        </w:rPr>
        <w:t>can</w:t>
      </w:r>
      <w:r>
        <w:rPr>
          <w:sz w:val="28"/>
          <w:szCs w:val="28"/>
        </w:rPr>
        <w:t xml:space="preserve"> reside at home if their university is in the same city where they live.   </w:t>
      </w:r>
    </w:p>
    <w:p w14:paraId="0177CD17" w14:textId="3B2CC930" w:rsidR="00376505" w:rsidRDefault="00F35AAC">
      <w:pPr>
        <w:numPr>
          <w:ilvl w:val="0"/>
          <w:numId w:val="1"/>
        </w:numPr>
        <w:rPr>
          <w:sz w:val="28"/>
          <w:szCs w:val="28"/>
        </w:rPr>
      </w:pPr>
      <w:r>
        <w:rPr>
          <w:sz w:val="28"/>
          <w:szCs w:val="28"/>
        </w:rPr>
        <w:t xml:space="preserve">The ability to save.  While there is no actual maximum annual contribution the maximum annual grant is $1,000 therefore the maximum contribution is $5,000 if using previous year’s unused contributions.  Many clients will not be able to afford the maximum contributions.  That is another excellent reason why we also need to create holistic plans.   </w:t>
      </w:r>
    </w:p>
    <w:p w14:paraId="6C03A725" w14:textId="5047A850" w:rsidR="00376505" w:rsidRDefault="00F35AAC">
      <w:pPr>
        <w:numPr>
          <w:ilvl w:val="0"/>
          <w:numId w:val="1"/>
        </w:numPr>
        <w:rPr>
          <w:sz w:val="28"/>
          <w:szCs w:val="28"/>
        </w:rPr>
      </w:pPr>
      <w:r>
        <w:rPr>
          <w:sz w:val="28"/>
          <w:szCs w:val="28"/>
        </w:rPr>
        <w:t xml:space="preserve">The maximum CESG lifetime grant is $7,200.  You need to be </w:t>
      </w:r>
      <w:r w:rsidR="009D66AA">
        <w:rPr>
          <w:sz w:val="28"/>
          <w:szCs w:val="28"/>
        </w:rPr>
        <w:t>cognizant</w:t>
      </w:r>
      <w:r>
        <w:rPr>
          <w:sz w:val="28"/>
          <w:szCs w:val="28"/>
        </w:rPr>
        <w:t xml:space="preserve"> of this in the beneficiaries' latter years (15 +) as the contributions may be better allocated to a TFSA strategy if their lifetime CESG grant is at the limit of $7,200.   If you are unsure of the CESG amount, call the fund company.</w:t>
      </w:r>
    </w:p>
    <w:p w14:paraId="633034B2" w14:textId="77777777" w:rsidR="00376505" w:rsidRDefault="00376505">
      <w:pPr>
        <w:rPr>
          <w:sz w:val="28"/>
          <w:szCs w:val="28"/>
        </w:rPr>
      </w:pPr>
    </w:p>
    <w:p w14:paraId="4B627897" w14:textId="77777777" w:rsidR="00376505" w:rsidRDefault="00000000">
      <w:pPr>
        <w:rPr>
          <w:sz w:val="28"/>
          <w:szCs w:val="28"/>
        </w:rPr>
      </w:pPr>
      <w:hyperlink r:id="rId5">
        <w:r w:rsidR="00F35AAC">
          <w:rPr>
            <w:color w:val="1155CC"/>
            <w:sz w:val="28"/>
            <w:szCs w:val="28"/>
            <w:u w:val="single"/>
          </w:rPr>
          <w:t>CRA Link to CESG Grant Eligibility</w:t>
        </w:r>
      </w:hyperlink>
    </w:p>
    <w:p w14:paraId="1BB91039" w14:textId="77777777" w:rsidR="00376505" w:rsidRDefault="00376505">
      <w:pPr>
        <w:rPr>
          <w:sz w:val="28"/>
          <w:szCs w:val="28"/>
        </w:rPr>
      </w:pPr>
    </w:p>
    <w:p w14:paraId="25B02C9B" w14:textId="77777777" w:rsidR="00376505" w:rsidRDefault="00376505">
      <w:pPr>
        <w:rPr>
          <w:sz w:val="28"/>
          <w:szCs w:val="28"/>
        </w:rPr>
      </w:pPr>
    </w:p>
    <w:p w14:paraId="72ABFE3D" w14:textId="77777777" w:rsidR="00376505" w:rsidRDefault="00376505">
      <w:pPr>
        <w:rPr>
          <w:sz w:val="28"/>
          <w:szCs w:val="28"/>
        </w:rPr>
      </w:pPr>
    </w:p>
    <w:p w14:paraId="4B455263" w14:textId="77777777" w:rsidR="00376505" w:rsidRDefault="00376505">
      <w:pPr>
        <w:rPr>
          <w:sz w:val="28"/>
          <w:szCs w:val="28"/>
        </w:rPr>
      </w:pPr>
    </w:p>
    <w:p w14:paraId="3D766CEB" w14:textId="77777777" w:rsidR="00376505" w:rsidRDefault="00376505">
      <w:pPr>
        <w:rPr>
          <w:sz w:val="28"/>
          <w:szCs w:val="28"/>
        </w:rPr>
      </w:pPr>
    </w:p>
    <w:p w14:paraId="033D3BC2" w14:textId="77777777" w:rsidR="00376505" w:rsidRDefault="00376505">
      <w:pPr>
        <w:rPr>
          <w:sz w:val="28"/>
          <w:szCs w:val="28"/>
        </w:rPr>
      </w:pPr>
    </w:p>
    <w:p w14:paraId="5F2A206C" w14:textId="4A667E14" w:rsidR="00376505" w:rsidRDefault="00F35AAC">
      <w:pPr>
        <w:rPr>
          <w:i/>
          <w:sz w:val="28"/>
          <w:szCs w:val="28"/>
        </w:rPr>
      </w:pPr>
      <w:r>
        <w:rPr>
          <w:sz w:val="28"/>
          <w:szCs w:val="28"/>
        </w:rPr>
        <w:t>The plan we will use will</w:t>
      </w:r>
      <w:r w:rsidR="00120D73">
        <w:rPr>
          <w:sz w:val="28"/>
          <w:szCs w:val="28"/>
        </w:rPr>
        <w:t xml:space="preserve"> stem from</w:t>
      </w:r>
      <w:r>
        <w:rPr>
          <w:sz w:val="28"/>
          <w:szCs w:val="28"/>
        </w:rPr>
        <w:t xml:space="preserve"> our original case of the Kennedy’s.   </w:t>
      </w:r>
      <w:r>
        <w:rPr>
          <w:i/>
          <w:sz w:val="28"/>
          <w:szCs w:val="28"/>
        </w:rPr>
        <w:t xml:space="preserve">For this </w:t>
      </w:r>
      <w:r w:rsidR="00120D73">
        <w:rPr>
          <w:i/>
          <w:sz w:val="28"/>
          <w:szCs w:val="28"/>
        </w:rPr>
        <w:t>scenario</w:t>
      </w:r>
      <w:r>
        <w:rPr>
          <w:i/>
          <w:sz w:val="28"/>
          <w:szCs w:val="28"/>
        </w:rPr>
        <w:t xml:space="preserve"> the beneficiaries of the Kennedy’s are:</w:t>
      </w:r>
    </w:p>
    <w:p w14:paraId="6E2AA9BF" w14:textId="77777777" w:rsidR="00376505" w:rsidRDefault="00376505">
      <w:pPr>
        <w:rPr>
          <w:sz w:val="28"/>
          <w:szCs w:val="28"/>
        </w:rPr>
      </w:pPr>
    </w:p>
    <w:p w14:paraId="75BF0569" w14:textId="77777777" w:rsidR="00376505" w:rsidRDefault="00F35AAC">
      <w:pPr>
        <w:rPr>
          <w:sz w:val="28"/>
          <w:szCs w:val="28"/>
        </w:rPr>
      </w:pPr>
      <w:r>
        <w:rPr>
          <w:sz w:val="28"/>
          <w:szCs w:val="28"/>
        </w:rPr>
        <w:t>Johnny Kennedy Age 7</w:t>
      </w:r>
    </w:p>
    <w:p w14:paraId="3C3F8541" w14:textId="6AA2F152" w:rsidR="00376505" w:rsidRDefault="00F35AAC">
      <w:pPr>
        <w:rPr>
          <w:sz w:val="28"/>
          <w:szCs w:val="28"/>
        </w:rPr>
      </w:pPr>
      <w:r>
        <w:rPr>
          <w:sz w:val="28"/>
          <w:szCs w:val="28"/>
        </w:rPr>
        <w:t xml:space="preserve">Janie </w:t>
      </w:r>
      <w:r w:rsidR="009D66AA">
        <w:rPr>
          <w:sz w:val="28"/>
          <w:szCs w:val="28"/>
        </w:rPr>
        <w:t>Kennedy Age</w:t>
      </w:r>
      <w:r>
        <w:rPr>
          <w:sz w:val="28"/>
          <w:szCs w:val="28"/>
        </w:rPr>
        <w:t xml:space="preserve"> 5</w:t>
      </w:r>
    </w:p>
    <w:p w14:paraId="6BE7EF0B" w14:textId="77777777" w:rsidR="00376505" w:rsidRDefault="00376505">
      <w:pPr>
        <w:rPr>
          <w:sz w:val="28"/>
          <w:szCs w:val="28"/>
        </w:rPr>
      </w:pPr>
    </w:p>
    <w:p w14:paraId="3BCA706F" w14:textId="77777777" w:rsidR="00376505" w:rsidRDefault="00F35AAC">
      <w:pPr>
        <w:rPr>
          <w:b/>
          <w:sz w:val="34"/>
          <w:szCs w:val="34"/>
        </w:rPr>
      </w:pPr>
      <w:r>
        <w:rPr>
          <w:b/>
          <w:sz w:val="34"/>
          <w:szCs w:val="34"/>
        </w:rPr>
        <w:t xml:space="preserve">The following is the process to set up your RESP:   </w:t>
      </w:r>
    </w:p>
    <w:p w14:paraId="60481A7B" w14:textId="77777777" w:rsidR="00376505" w:rsidRDefault="00376505"/>
    <w:p w14:paraId="492CB773" w14:textId="77777777" w:rsidR="00376505" w:rsidRDefault="00F35AAC">
      <w:pPr>
        <w:shd w:val="clear" w:color="auto" w:fill="FFFFFF"/>
        <w:spacing w:before="440" w:after="440"/>
        <w:rPr>
          <w:color w:val="222222"/>
          <w:sz w:val="28"/>
          <w:szCs w:val="28"/>
        </w:rPr>
      </w:pPr>
      <w:r>
        <w:rPr>
          <w:color w:val="222222"/>
          <w:sz w:val="28"/>
          <w:szCs w:val="28"/>
        </w:rPr>
        <w:t>Enter the RESP asset in Net Worth.  Note, although this is a joint account, you can only pick one individual.   Set the return rate based on their profile, in this case they will have a Moderate Profile.</w:t>
      </w:r>
    </w:p>
    <w:p w14:paraId="53869DA7" w14:textId="77777777" w:rsidR="00376505" w:rsidRDefault="00F35AAC">
      <w:pPr>
        <w:shd w:val="clear" w:color="auto" w:fill="FFFFFF"/>
        <w:spacing w:before="440" w:after="440"/>
        <w:rPr>
          <w:b/>
          <w:color w:val="222222"/>
          <w:sz w:val="28"/>
          <w:szCs w:val="28"/>
        </w:rPr>
      </w:pPr>
      <w:r>
        <w:rPr>
          <w:b/>
          <w:noProof/>
          <w:color w:val="222222"/>
          <w:sz w:val="28"/>
          <w:szCs w:val="28"/>
        </w:rPr>
        <w:drawing>
          <wp:inline distT="114300" distB="114300" distL="114300" distR="114300" wp14:anchorId="394EE40C" wp14:editId="228F69A4">
            <wp:extent cx="6015038" cy="6667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015038" cy="666750"/>
                    </a:xfrm>
                    <a:prstGeom prst="rect">
                      <a:avLst/>
                    </a:prstGeom>
                    <a:ln/>
                  </pic:spPr>
                </pic:pic>
              </a:graphicData>
            </a:graphic>
          </wp:inline>
        </w:drawing>
      </w:r>
    </w:p>
    <w:p w14:paraId="6E5AF891" w14:textId="5236AF28" w:rsidR="00376505" w:rsidRDefault="00F35AAC">
      <w:pPr>
        <w:shd w:val="clear" w:color="auto" w:fill="FFFFFF"/>
        <w:spacing w:before="440" w:after="440"/>
        <w:rPr>
          <w:color w:val="222222"/>
          <w:sz w:val="28"/>
          <w:szCs w:val="28"/>
        </w:rPr>
      </w:pPr>
      <w:r>
        <w:rPr>
          <w:color w:val="222222"/>
          <w:sz w:val="28"/>
          <w:szCs w:val="28"/>
        </w:rPr>
        <w:t xml:space="preserve">Set your education goal.  In this case, we will add the education </w:t>
      </w:r>
      <w:proofErr w:type="gramStart"/>
      <w:r>
        <w:rPr>
          <w:color w:val="222222"/>
          <w:sz w:val="28"/>
          <w:szCs w:val="28"/>
        </w:rPr>
        <w:t>objective</w:t>
      </w:r>
      <w:proofErr w:type="gramEnd"/>
      <w:r>
        <w:rPr>
          <w:color w:val="222222"/>
          <w:sz w:val="28"/>
          <w:szCs w:val="28"/>
        </w:rPr>
        <w:t xml:space="preserve"> and this can be found under Set </w:t>
      </w:r>
      <w:r w:rsidR="009D66AA">
        <w:rPr>
          <w:color w:val="222222"/>
          <w:sz w:val="28"/>
          <w:szCs w:val="28"/>
        </w:rPr>
        <w:t>Goals -</w:t>
      </w:r>
      <w:r>
        <w:rPr>
          <w:color w:val="222222"/>
          <w:sz w:val="28"/>
          <w:szCs w:val="28"/>
        </w:rPr>
        <w:t xml:space="preserve"> Education.   To Search for education costs, click on the magnifying glass </w:t>
      </w:r>
      <w:proofErr w:type="gramStart"/>
      <w:r>
        <w:rPr>
          <w:color w:val="222222"/>
          <w:sz w:val="28"/>
          <w:szCs w:val="28"/>
        </w:rPr>
        <w:t>icon</w:t>
      </w:r>
      <w:proofErr w:type="gramEnd"/>
      <w:r>
        <w:rPr>
          <w:color w:val="222222"/>
          <w:sz w:val="28"/>
          <w:szCs w:val="28"/>
        </w:rPr>
        <w:t xml:space="preserve"> and enter the province.   </w:t>
      </w:r>
      <w:proofErr w:type="gramStart"/>
      <w:r>
        <w:rPr>
          <w:color w:val="222222"/>
          <w:sz w:val="28"/>
          <w:szCs w:val="28"/>
        </w:rPr>
        <w:t>A number of</w:t>
      </w:r>
      <w:proofErr w:type="gramEnd"/>
      <w:r>
        <w:rPr>
          <w:color w:val="222222"/>
          <w:sz w:val="28"/>
          <w:szCs w:val="28"/>
        </w:rPr>
        <w:t xml:space="preserve"> schools will be </w:t>
      </w:r>
      <w:r w:rsidR="009D66AA">
        <w:rPr>
          <w:color w:val="222222"/>
          <w:sz w:val="28"/>
          <w:szCs w:val="28"/>
        </w:rPr>
        <w:t>listed,</w:t>
      </w:r>
      <w:r>
        <w:rPr>
          <w:color w:val="222222"/>
          <w:sz w:val="28"/>
          <w:szCs w:val="28"/>
        </w:rPr>
        <w:t xml:space="preserve"> and you can choose the school based on the client’s wishes.  If they do not know the school they will choose, a quick guideline is $16,000 per year for tuition and living expenses.</w:t>
      </w:r>
    </w:p>
    <w:p w14:paraId="32FEB7E8" w14:textId="77777777" w:rsidR="00376505" w:rsidRDefault="00F35AAC">
      <w:pPr>
        <w:shd w:val="clear" w:color="auto" w:fill="FFFFFF"/>
        <w:spacing w:before="440" w:after="440"/>
        <w:rPr>
          <w:color w:val="222222"/>
          <w:sz w:val="28"/>
          <w:szCs w:val="28"/>
        </w:rPr>
      </w:pPr>
      <w:r>
        <w:rPr>
          <w:color w:val="222222"/>
          <w:sz w:val="28"/>
          <w:szCs w:val="28"/>
        </w:rPr>
        <w:t>Note</w:t>
      </w:r>
    </w:p>
    <w:p w14:paraId="70E2020A" w14:textId="77777777" w:rsidR="00376505" w:rsidRDefault="00F35AAC">
      <w:pPr>
        <w:numPr>
          <w:ilvl w:val="0"/>
          <w:numId w:val="3"/>
        </w:numPr>
        <w:shd w:val="clear" w:color="auto" w:fill="FFFFFF"/>
        <w:spacing w:before="440"/>
        <w:rPr>
          <w:color w:val="222222"/>
          <w:sz w:val="28"/>
          <w:szCs w:val="28"/>
        </w:rPr>
      </w:pPr>
      <w:r>
        <w:rPr>
          <w:color w:val="222222"/>
          <w:sz w:val="28"/>
          <w:szCs w:val="28"/>
        </w:rPr>
        <w:t>Under Member click on the beneficiary</w:t>
      </w:r>
    </w:p>
    <w:p w14:paraId="297533C5" w14:textId="77777777" w:rsidR="00376505" w:rsidRDefault="00F35AAC">
      <w:pPr>
        <w:numPr>
          <w:ilvl w:val="0"/>
          <w:numId w:val="3"/>
        </w:numPr>
        <w:shd w:val="clear" w:color="auto" w:fill="FFFFFF"/>
        <w:spacing w:after="440"/>
        <w:rPr>
          <w:color w:val="222222"/>
          <w:sz w:val="28"/>
          <w:szCs w:val="28"/>
        </w:rPr>
      </w:pPr>
      <w:r>
        <w:rPr>
          <w:color w:val="222222"/>
          <w:sz w:val="28"/>
          <w:szCs w:val="28"/>
        </w:rPr>
        <w:t>Choose Tuition or Tuition/Room.</w:t>
      </w:r>
    </w:p>
    <w:p w14:paraId="104FC30B" w14:textId="77777777" w:rsidR="00376505" w:rsidRDefault="00376505">
      <w:pPr>
        <w:shd w:val="clear" w:color="auto" w:fill="FFFFFF"/>
        <w:spacing w:before="440" w:after="440"/>
        <w:rPr>
          <w:color w:val="222222"/>
          <w:sz w:val="28"/>
          <w:szCs w:val="28"/>
        </w:rPr>
      </w:pPr>
    </w:p>
    <w:p w14:paraId="5EFA327E" w14:textId="77777777" w:rsidR="00376505" w:rsidRDefault="00376505">
      <w:pPr>
        <w:shd w:val="clear" w:color="auto" w:fill="FFFFFF"/>
        <w:spacing w:before="440" w:after="440"/>
        <w:rPr>
          <w:color w:val="222222"/>
          <w:sz w:val="28"/>
          <w:szCs w:val="28"/>
        </w:rPr>
      </w:pPr>
    </w:p>
    <w:p w14:paraId="3F700023" w14:textId="77777777" w:rsidR="00376505" w:rsidRDefault="00F35AAC">
      <w:pPr>
        <w:shd w:val="clear" w:color="auto" w:fill="FFFFFF"/>
        <w:spacing w:before="440" w:after="440"/>
        <w:rPr>
          <w:color w:val="222222"/>
          <w:sz w:val="28"/>
          <w:szCs w:val="28"/>
        </w:rPr>
      </w:pPr>
      <w:r>
        <w:rPr>
          <w:noProof/>
          <w:color w:val="222222"/>
          <w:sz w:val="28"/>
          <w:szCs w:val="28"/>
        </w:rPr>
        <w:drawing>
          <wp:inline distT="114300" distB="114300" distL="114300" distR="114300" wp14:anchorId="72D484C7" wp14:editId="5DF6BC14">
            <wp:extent cx="5943600" cy="35306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3530600"/>
                    </a:xfrm>
                    <a:prstGeom prst="rect">
                      <a:avLst/>
                    </a:prstGeom>
                    <a:ln/>
                  </pic:spPr>
                </pic:pic>
              </a:graphicData>
            </a:graphic>
          </wp:inline>
        </w:drawing>
      </w:r>
    </w:p>
    <w:p w14:paraId="46C21BED" w14:textId="77777777" w:rsidR="00376505" w:rsidRDefault="00F35AAC">
      <w:pPr>
        <w:shd w:val="clear" w:color="auto" w:fill="FFFFFF"/>
        <w:spacing w:before="440" w:after="440"/>
        <w:rPr>
          <w:color w:val="222222"/>
          <w:sz w:val="28"/>
          <w:szCs w:val="28"/>
        </w:rPr>
      </w:pPr>
      <w:r>
        <w:rPr>
          <w:noProof/>
          <w:color w:val="222222"/>
          <w:sz w:val="28"/>
          <w:szCs w:val="28"/>
        </w:rPr>
        <w:drawing>
          <wp:inline distT="114300" distB="114300" distL="114300" distR="114300" wp14:anchorId="5D9A39C9" wp14:editId="00A7AACA">
            <wp:extent cx="6751438" cy="199080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51438" cy="1990809"/>
                    </a:xfrm>
                    <a:prstGeom prst="rect">
                      <a:avLst/>
                    </a:prstGeom>
                    <a:ln/>
                  </pic:spPr>
                </pic:pic>
              </a:graphicData>
            </a:graphic>
          </wp:inline>
        </w:drawing>
      </w:r>
    </w:p>
    <w:p w14:paraId="1FB62B71" w14:textId="77777777" w:rsidR="00376505" w:rsidRDefault="00F35AAC">
      <w:pPr>
        <w:shd w:val="clear" w:color="auto" w:fill="FFFFFF"/>
        <w:spacing w:before="440" w:after="440"/>
        <w:rPr>
          <w:color w:val="222222"/>
          <w:sz w:val="28"/>
          <w:szCs w:val="28"/>
        </w:rPr>
      </w:pPr>
      <w:r>
        <w:rPr>
          <w:color w:val="222222"/>
          <w:sz w:val="28"/>
          <w:szCs w:val="28"/>
        </w:rPr>
        <w:t xml:space="preserve">You can see the projected costs in 2033 and 2035 will be over $100,000 per child. </w:t>
      </w:r>
    </w:p>
    <w:p w14:paraId="2AAD4773" w14:textId="77777777" w:rsidR="00376505" w:rsidRDefault="00376505">
      <w:pPr>
        <w:shd w:val="clear" w:color="auto" w:fill="FFFFFF"/>
        <w:spacing w:before="440" w:after="440"/>
        <w:rPr>
          <w:b/>
          <w:color w:val="222222"/>
          <w:sz w:val="28"/>
          <w:szCs w:val="28"/>
        </w:rPr>
      </w:pPr>
    </w:p>
    <w:p w14:paraId="549ABF7F" w14:textId="77777777" w:rsidR="00376505" w:rsidRDefault="00376505">
      <w:pPr>
        <w:shd w:val="clear" w:color="auto" w:fill="FFFFFF"/>
        <w:spacing w:before="440" w:after="440"/>
        <w:rPr>
          <w:b/>
          <w:color w:val="222222"/>
          <w:sz w:val="28"/>
          <w:szCs w:val="28"/>
        </w:rPr>
      </w:pPr>
    </w:p>
    <w:p w14:paraId="4FB1583B" w14:textId="77777777" w:rsidR="00376505" w:rsidRDefault="00F35AAC">
      <w:pPr>
        <w:shd w:val="clear" w:color="auto" w:fill="FFFFFF"/>
        <w:spacing w:before="440" w:after="440"/>
        <w:rPr>
          <w:color w:val="222222"/>
          <w:sz w:val="28"/>
          <w:szCs w:val="28"/>
        </w:rPr>
      </w:pPr>
      <w:r>
        <w:rPr>
          <w:color w:val="222222"/>
          <w:sz w:val="28"/>
          <w:szCs w:val="28"/>
        </w:rPr>
        <w:lastRenderedPageBreak/>
        <w:t>Assign the account.    Navi needs to know what account you will allocate to the education goals.   There are a couple of ways to do this.</w:t>
      </w:r>
    </w:p>
    <w:p w14:paraId="6192BB41" w14:textId="77777777" w:rsidR="00376505" w:rsidRDefault="00F35AAC">
      <w:pPr>
        <w:shd w:val="clear" w:color="auto" w:fill="FFFFFF"/>
        <w:spacing w:before="440" w:after="440"/>
        <w:rPr>
          <w:b/>
          <w:color w:val="222222"/>
          <w:sz w:val="28"/>
          <w:szCs w:val="28"/>
        </w:rPr>
      </w:pPr>
      <w:r>
        <w:rPr>
          <w:b/>
          <w:color w:val="222222"/>
          <w:sz w:val="28"/>
          <w:szCs w:val="28"/>
        </w:rPr>
        <w:t>Go to Goal Funding under Set Goals.</w:t>
      </w:r>
    </w:p>
    <w:p w14:paraId="55269510" w14:textId="77777777" w:rsidR="00376505" w:rsidRDefault="00F35AAC">
      <w:pPr>
        <w:shd w:val="clear" w:color="auto" w:fill="FFFFFF"/>
        <w:spacing w:before="440" w:after="440"/>
        <w:rPr>
          <w:color w:val="222222"/>
          <w:sz w:val="28"/>
          <w:szCs w:val="28"/>
        </w:rPr>
      </w:pPr>
      <w:r>
        <w:rPr>
          <w:color w:val="222222"/>
          <w:sz w:val="28"/>
          <w:szCs w:val="28"/>
        </w:rPr>
        <w:t xml:space="preserve">Allocate the education amount for each beneficiary.   In this case the goal funding will be split 50/50 for each beneficiary. </w:t>
      </w:r>
    </w:p>
    <w:p w14:paraId="44316898" w14:textId="77777777" w:rsidR="00376505" w:rsidRDefault="00F35AAC">
      <w:pPr>
        <w:shd w:val="clear" w:color="auto" w:fill="FFFFFF"/>
        <w:spacing w:before="440" w:after="440"/>
        <w:rPr>
          <w:b/>
          <w:color w:val="222222"/>
          <w:sz w:val="28"/>
          <w:szCs w:val="28"/>
        </w:rPr>
      </w:pPr>
      <w:r>
        <w:rPr>
          <w:b/>
          <w:noProof/>
          <w:color w:val="222222"/>
          <w:sz w:val="28"/>
          <w:szCs w:val="28"/>
        </w:rPr>
        <w:drawing>
          <wp:inline distT="114300" distB="114300" distL="114300" distR="114300" wp14:anchorId="3B4FC7E6" wp14:editId="7EB48517">
            <wp:extent cx="6629400" cy="348688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629400" cy="3486885"/>
                    </a:xfrm>
                    <a:prstGeom prst="rect">
                      <a:avLst/>
                    </a:prstGeom>
                    <a:ln/>
                  </pic:spPr>
                </pic:pic>
              </a:graphicData>
            </a:graphic>
          </wp:inline>
        </w:drawing>
      </w:r>
    </w:p>
    <w:p w14:paraId="36866AA2" w14:textId="77777777" w:rsidR="00376505" w:rsidRDefault="00F35AAC">
      <w:pPr>
        <w:shd w:val="clear" w:color="auto" w:fill="FFFFFF"/>
        <w:spacing w:before="440" w:after="440"/>
        <w:rPr>
          <w:color w:val="222222"/>
          <w:sz w:val="28"/>
          <w:szCs w:val="28"/>
        </w:rPr>
      </w:pPr>
      <w:r>
        <w:rPr>
          <w:color w:val="222222"/>
          <w:sz w:val="28"/>
          <w:szCs w:val="28"/>
        </w:rPr>
        <w:t xml:space="preserve">Establish a payment plan.   In this case Johnny and Janie Kennedy will allocate $400 per month toward the education objective.   </w:t>
      </w:r>
    </w:p>
    <w:p w14:paraId="5DB59367" w14:textId="77777777" w:rsidR="00376505" w:rsidRDefault="00F35AAC">
      <w:pPr>
        <w:shd w:val="clear" w:color="auto" w:fill="FFFFFF"/>
        <w:spacing w:before="440" w:after="440"/>
        <w:rPr>
          <w:color w:val="222222"/>
          <w:sz w:val="28"/>
          <w:szCs w:val="28"/>
        </w:rPr>
      </w:pPr>
      <w:r>
        <w:rPr>
          <w:color w:val="222222"/>
          <w:sz w:val="28"/>
          <w:szCs w:val="28"/>
        </w:rPr>
        <w:t>Note, you will need to enter an end date.  A good rule of thumb is to use the year the youngest beneficiary turns 18.  In this case that will be Janie in 2035.</w:t>
      </w:r>
    </w:p>
    <w:p w14:paraId="19E4CC5C" w14:textId="77777777" w:rsidR="00376505" w:rsidRDefault="00376505">
      <w:pPr>
        <w:shd w:val="clear" w:color="auto" w:fill="FFFFFF"/>
        <w:spacing w:before="440" w:after="440"/>
        <w:rPr>
          <w:b/>
          <w:color w:val="222222"/>
          <w:sz w:val="28"/>
          <w:szCs w:val="28"/>
        </w:rPr>
      </w:pPr>
    </w:p>
    <w:p w14:paraId="79809526" w14:textId="77777777" w:rsidR="00376505" w:rsidRDefault="00F35AAC">
      <w:pPr>
        <w:shd w:val="clear" w:color="auto" w:fill="FFFFFF"/>
        <w:spacing w:before="440" w:after="440"/>
        <w:rPr>
          <w:b/>
          <w:color w:val="222222"/>
          <w:sz w:val="28"/>
          <w:szCs w:val="28"/>
        </w:rPr>
      </w:pPr>
      <w:r>
        <w:rPr>
          <w:b/>
          <w:noProof/>
          <w:color w:val="222222"/>
          <w:sz w:val="28"/>
          <w:szCs w:val="28"/>
        </w:rPr>
        <w:lastRenderedPageBreak/>
        <w:drawing>
          <wp:inline distT="114300" distB="114300" distL="114300" distR="114300" wp14:anchorId="6E62B40C" wp14:editId="5BA21164">
            <wp:extent cx="5943600" cy="3365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365500"/>
                    </a:xfrm>
                    <a:prstGeom prst="rect">
                      <a:avLst/>
                    </a:prstGeom>
                    <a:ln/>
                  </pic:spPr>
                </pic:pic>
              </a:graphicData>
            </a:graphic>
          </wp:inline>
        </w:drawing>
      </w:r>
    </w:p>
    <w:p w14:paraId="54E6C7B1" w14:textId="77777777" w:rsidR="00376505" w:rsidRDefault="00F35AAC">
      <w:pPr>
        <w:shd w:val="clear" w:color="auto" w:fill="FFFFFF"/>
        <w:spacing w:before="440" w:after="440"/>
        <w:rPr>
          <w:b/>
          <w:color w:val="222222"/>
          <w:sz w:val="28"/>
          <w:szCs w:val="28"/>
        </w:rPr>
      </w:pPr>
      <w:r>
        <w:rPr>
          <w:b/>
          <w:color w:val="222222"/>
          <w:sz w:val="28"/>
          <w:szCs w:val="28"/>
        </w:rPr>
        <w:t>Analyze the Goal Funding.</w:t>
      </w:r>
    </w:p>
    <w:p w14:paraId="3487B8ED" w14:textId="77777777" w:rsidR="00376505" w:rsidRDefault="00F35AAC">
      <w:pPr>
        <w:shd w:val="clear" w:color="auto" w:fill="FFFFFF"/>
        <w:spacing w:before="440" w:after="440"/>
        <w:rPr>
          <w:color w:val="222222"/>
          <w:sz w:val="28"/>
          <w:szCs w:val="28"/>
        </w:rPr>
      </w:pPr>
      <w:r>
        <w:rPr>
          <w:color w:val="222222"/>
          <w:sz w:val="28"/>
          <w:szCs w:val="28"/>
        </w:rPr>
        <w:t>To do this click on Analyze Goal.     When you click on Johnny’s Goal funding of 47% you will be given the following information:</w:t>
      </w:r>
    </w:p>
    <w:p w14:paraId="55CE3DF4" w14:textId="77777777" w:rsidR="00376505" w:rsidRDefault="00376505">
      <w:pPr>
        <w:shd w:val="clear" w:color="auto" w:fill="FFFFFF"/>
        <w:spacing w:before="440" w:after="440"/>
        <w:rPr>
          <w:b/>
          <w:color w:val="222222"/>
          <w:sz w:val="28"/>
          <w:szCs w:val="28"/>
        </w:rPr>
      </w:pPr>
    </w:p>
    <w:p w14:paraId="642B9C05" w14:textId="77777777" w:rsidR="00376505" w:rsidRDefault="00F35AAC">
      <w:pPr>
        <w:shd w:val="clear" w:color="auto" w:fill="FFFFFF"/>
        <w:spacing w:before="440" w:after="440"/>
        <w:rPr>
          <w:b/>
          <w:color w:val="222222"/>
          <w:sz w:val="28"/>
          <w:szCs w:val="28"/>
        </w:rPr>
      </w:pPr>
      <w:r>
        <w:rPr>
          <w:b/>
          <w:noProof/>
          <w:color w:val="222222"/>
          <w:sz w:val="28"/>
          <w:szCs w:val="28"/>
        </w:rPr>
        <w:drawing>
          <wp:inline distT="114300" distB="114300" distL="114300" distR="114300" wp14:anchorId="73820BDB" wp14:editId="5F0DCB4A">
            <wp:extent cx="5943600" cy="1193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1193800"/>
                    </a:xfrm>
                    <a:prstGeom prst="rect">
                      <a:avLst/>
                    </a:prstGeom>
                    <a:ln/>
                  </pic:spPr>
                </pic:pic>
              </a:graphicData>
            </a:graphic>
          </wp:inline>
        </w:drawing>
      </w:r>
    </w:p>
    <w:p w14:paraId="780D589C" w14:textId="77777777" w:rsidR="00376505" w:rsidRDefault="00376505">
      <w:pPr>
        <w:shd w:val="clear" w:color="auto" w:fill="FFFFFF"/>
        <w:spacing w:before="440" w:after="440"/>
        <w:rPr>
          <w:b/>
          <w:color w:val="222222"/>
          <w:sz w:val="28"/>
          <w:szCs w:val="28"/>
        </w:rPr>
      </w:pPr>
    </w:p>
    <w:p w14:paraId="330D4EFC" w14:textId="77777777" w:rsidR="00376505" w:rsidRDefault="00376505">
      <w:pPr>
        <w:shd w:val="clear" w:color="auto" w:fill="FFFFFF"/>
        <w:spacing w:before="440" w:after="440"/>
        <w:rPr>
          <w:b/>
          <w:color w:val="222222"/>
          <w:sz w:val="28"/>
          <w:szCs w:val="28"/>
        </w:rPr>
      </w:pPr>
    </w:p>
    <w:p w14:paraId="209BEC32" w14:textId="77777777" w:rsidR="00376505" w:rsidRDefault="00F35AAC">
      <w:pPr>
        <w:shd w:val="clear" w:color="auto" w:fill="FFFFFF"/>
        <w:spacing w:before="440" w:after="440"/>
        <w:rPr>
          <w:b/>
          <w:color w:val="222222"/>
          <w:sz w:val="28"/>
          <w:szCs w:val="28"/>
        </w:rPr>
      </w:pPr>
      <w:r>
        <w:rPr>
          <w:b/>
          <w:noProof/>
          <w:color w:val="222222"/>
          <w:sz w:val="28"/>
          <w:szCs w:val="28"/>
        </w:rPr>
        <w:lastRenderedPageBreak/>
        <w:drawing>
          <wp:inline distT="114300" distB="114300" distL="114300" distR="114300" wp14:anchorId="2F3CC41B" wp14:editId="493BFAB4">
            <wp:extent cx="5943600" cy="33274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327400"/>
                    </a:xfrm>
                    <a:prstGeom prst="rect">
                      <a:avLst/>
                    </a:prstGeom>
                    <a:ln/>
                  </pic:spPr>
                </pic:pic>
              </a:graphicData>
            </a:graphic>
          </wp:inline>
        </w:drawing>
      </w:r>
    </w:p>
    <w:p w14:paraId="18C0FB0E" w14:textId="77777777" w:rsidR="00376505" w:rsidRDefault="00F35AAC">
      <w:pPr>
        <w:shd w:val="clear" w:color="auto" w:fill="FFFFFF"/>
        <w:spacing w:before="440" w:after="440"/>
        <w:rPr>
          <w:b/>
          <w:color w:val="222222"/>
          <w:sz w:val="28"/>
          <w:szCs w:val="28"/>
        </w:rPr>
      </w:pPr>
      <w:r>
        <w:rPr>
          <w:b/>
          <w:color w:val="222222"/>
          <w:sz w:val="28"/>
          <w:szCs w:val="28"/>
        </w:rPr>
        <w:t>Click on What Are My Options.</w:t>
      </w:r>
    </w:p>
    <w:p w14:paraId="3E6C071A" w14:textId="77777777" w:rsidR="00376505" w:rsidRDefault="00F35AAC">
      <w:pPr>
        <w:shd w:val="clear" w:color="auto" w:fill="FFFFFF"/>
        <w:spacing w:before="440" w:after="440"/>
        <w:rPr>
          <w:b/>
          <w:color w:val="222222"/>
          <w:sz w:val="28"/>
          <w:szCs w:val="28"/>
        </w:rPr>
      </w:pPr>
      <w:r>
        <w:rPr>
          <w:b/>
          <w:noProof/>
          <w:color w:val="222222"/>
          <w:sz w:val="28"/>
          <w:szCs w:val="28"/>
        </w:rPr>
        <w:drawing>
          <wp:inline distT="114300" distB="114300" distL="114300" distR="114300" wp14:anchorId="1D0D9C64" wp14:editId="2E35695E">
            <wp:extent cx="4848225" cy="363378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848225" cy="3633788"/>
                    </a:xfrm>
                    <a:prstGeom prst="rect">
                      <a:avLst/>
                    </a:prstGeom>
                    <a:ln/>
                  </pic:spPr>
                </pic:pic>
              </a:graphicData>
            </a:graphic>
          </wp:inline>
        </w:drawing>
      </w:r>
    </w:p>
    <w:p w14:paraId="51594111" w14:textId="77777777" w:rsidR="00376505" w:rsidRDefault="00F35AAC">
      <w:pPr>
        <w:shd w:val="clear" w:color="auto" w:fill="FFFFFF"/>
        <w:spacing w:before="440" w:after="440"/>
        <w:rPr>
          <w:color w:val="222222"/>
          <w:sz w:val="28"/>
          <w:szCs w:val="28"/>
        </w:rPr>
      </w:pPr>
      <w:r>
        <w:rPr>
          <w:color w:val="222222"/>
          <w:sz w:val="28"/>
          <w:szCs w:val="28"/>
        </w:rPr>
        <w:lastRenderedPageBreak/>
        <w:t>The options are:</w:t>
      </w:r>
    </w:p>
    <w:p w14:paraId="68221419" w14:textId="77777777" w:rsidR="00376505" w:rsidRDefault="00F35AAC">
      <w:pPr>
        <w:numPr>
          <w:ilvl w:val="0"/>
          <w:numId w:val="2"/>
        </w:numPr>
        <w:shd w:val="clear" w:color="auto" w:fill="FFFFFF"/>
        <w:spacing w:before="440"/>
        <w:rPr>
          <w:color w:val="222222"/>
          <w:sz w:val="28"/>
          <w:szCs w:val="28"/>
        </w:rPr>
      </w:pPr>
      <w:r>
        <w:rPr>
          <w:color w:val="222222"/>
          <w:sz w:val="28"/>
          <w:szCs w:val="28"/>
        </w:rPr>
        <w:t>Save an additional $255 per month.</w:t>
      </w:r>
    </w:p>
    <w:p w14:paraId="7E69E4A3" w14:textId="77777777" w:rsidR="00376505" w:rsidRDefault="00F35AAC">
      <w:pPr>
        <w:numPr>
          <w:ilvl w:val="0"/>
          <w:numId w:val="2"/>
        </w:numPr>
        <w:shd w:val="clear" w:color="auto" w:fill="FFFFFF"/>
        <w:spacing w:after="440"/>
        <w:rPr>
          <w:color w:val="222222"/>
          <w:sz w:val="28"/>
          <w:szCs w:val="28"/>
        </w:rPr>
      </w:pPr>
      <w:r>
        <w:rPr>
          <w:color w:val="222222"/>
          <w:sz w:val="28"/>
          <w:szCs w:val="28"/>
        </w:rPr>
        <w:t>Contribute a lump sum of $32,524.</w:t>
      </w:r>
    </w:p>
    <w:p w14:paraId="3F752E16" w14:textId="3BB57B35" w:rsidR="00376505" w:rsidRDefault="00F35AAC">
      <w:pPr>
        <w:shd w:val="clear" w:color="auto" w:fill="FFFFFF"/>
        <w:spacing w:before="440" w:after="440"/>
      </w:pPr>
      <w:r>
        <w:rPr>
          <w:color w:val="222222"/>
          <w:sz w:val="28"/>
          <w:szCs w:val="28"/>
        </w:rPr>
        <w:t xml:space="preserve">Note, this scenario does not </w:t>
      </w:r>
      <w:r w:rsidR="009D66AA">
        <w:rPr>
          <w:color w:val="222222"/>
          <w:sz w:val="28"/>
          <w:szCs w:val="28"/>
        </w:rPr>
        <w:t>consider</w:t>
      </w:r>
      <w:r>
        <w:rPr>
          <w:color w:val="222222"/>
          <w:sz w:val="28"/>
          <w:szCs w:val="28"/>
        </w:rPr>
        <w:t xml:space="preserve"> the beneficiary’s contribution through summer employment and part time jobs.</w:t>
      </w:r>
      <w:r>
        <w:rPr>
          <w:b/>
          <w:color w:val="222222"/>
          <w:sz w:val="28"/>
          <w:szCs w:val="28"/>
        </w:rPr>
        <w:tab/>
      </w:r>
      <w:r>
        <w:rPr>
          <w:b/>
          <w:color w:val="222222"/>
          <w:sz w:val="28"/>
          <w:szCs w:val="28"/>
        </w:rPr>
        <w:tab/>
      </w:r>
    </w:p>
    <w:p w14:paraId="0D75D8FD" w14:textId="2BAF3BDC" w:rsidR="00376505" w:rsidRDefault="00F35AAC">
      <w:pPr>
        <w:rPr>
          <w:sz w:val="28"/>
          <w:szCs w:val="28"/>
        </w:rPr>
      </w:pPr>
      <w:r>
        <w:rPr>
          <w:sz w:val="28"/>
          <w:szCs w:val="28"/>
        </w:rPr>
        <w:t xml:space="preserve">Now you can create a solution for your members' RESP plans.   Your members will have peace of mind that funding is in place for their children’s education.   </w:t>
      </w:r>
    </w:p>
    <w:p w14:paraId="7C98372B" w14:textId="76895B10" w:rsidR="00FD7CF9" w:rsidRDefault="00FD7CF9">
      <w:pPr>
        <w:rPr>
          <w:sz w:val="28"/>
          <w:szCs w:val="28"/>
        </w:rPr>
      </w:pPr>
    </w:p>
    <w:p w14:paraId="0E776B21" w14:textId="6CECB371" w:rsidR="00FD7CF9" w:rsidRDefault="00FD7CF9">
      <w:pPr>
        <w:rPr>
          <w:sz w:val="28"/>
          <w:szCs w:val="28"/>
        </w:rPr>
      </w:pPr>
      <w:r>
        <w:rPr>
          <w:sz w:val="28"/>
          <w:szCs w:val="28"/>
        </w:rPr>
        <w:t>Remember the use of actual real-life stories/experiences including your own are powerful examples of how maxing the RESP option can play a significant role in helping our children or grandchildren navigate the finances of a post-secondary education.</w:t>
      </w:r>
    </w:p>
    <w:p w14:paraId="7D1210F6" w14:textId="77777777" w:rsidR="00376505" w:rsidRDefault="00376505">
      <w:pPr>
        <w:rPr>
          <w:sz w:val="28"/>
          <w:szCs w:val="28"/>
        </w:rPr>
      </w:pPr>
    </w:p>
    <w:p w14:paraId="3921B045" w14:textId="77777777" w:rsidR="00376505" w:rsidRDefault="00F35AAC">
      <w:pPr>
        <w:rPr>
          <w:sz w:val="28"/>
          <w:szCs w:val="28"/>
        </w:rPr>
      </w:pPr>
      <w:r>
        <w:rPr>
          <w:sz w:val="28"/>
          <w:szCs w:val="28"/>
        </w:rPr>
        <w:t>Good Luck!!!!</w:t>
      </w:r>
    </w:p>
    <w:p w14:paraId="5C740721" w14:textId="77777777" w:rsidR="00376505" w:rsidRDefault="00376505"/>
    <w:p w14:paraId="6A426270" w14:textId="77777777" w:rsidR="00376505" w:rsidRDefault="00F35AAC">
      <w:pPr>
        <w:shd w:val="clear" w:color="auto" w:fill="FFFFFF"/>
        <w:rPr>
          <w:sz w:val="26"/>
          <w:szCs w:val="26"/>
        </w:rPr>
      </w:pPr>
      <w:r>
        <w:rPr>
          <w:sz w:val="26"/>
          <w:szCs w:val="26"/>
        </w:rPr>
        <w:t>Sheldon Craig, CFP®</w:t>
      </w:r>
    </w:p>
    <w:p w14:paraId="0FC760A5" w14:textId="77777777" w:rsidR="00376505" w:rsidRDefault="00F35AAC">
      <w:pPr>
        <w:shd w:val="clear" w:color="auto" w:fill="FFFFFF"/>
        <w:rPr>
          <w:sz w:val="26"/>
          <w:szCs w:val="26"/>
        </w:rPr>
      </w:pPr>
      <w:r>
        <w:rPr>
          <w:sz w:val="26"/>
          <w:szCs w:val="26"/>
        </w:rPr>
        <w:t>Regional Manager</w:t>
      </w:r>
    </w:p>
    <w:p w14:paraId="6ED35A61" w14:textId="77777777" w:rsidR="00376505" w:rsidRDefault="00F35AAC">
      <w:pPr>
        <w:shd w:val="clear" w:color="auto" w:fill="FFFFFF"/>
        <w:rPr>
          <w:sz w:val="26"/>
          <w:szCs w:val="26"/>
        </w:rPr>
      </w:pPr>
      <w:r>
        <w:rPr>
          <w:sz w:val="26"/>
          <w:szCs w:val="26"/>
        </w:rPr>
        <w:t>scraig@cuwealth.ca</w:t>
      </w:r>
    </w:p>
    <w:p w14:paraId="3D3F1D2C" w14:textId="77777777" w:rsidR="00376505" w:rsidRDefault="00F35AAC">
      <w:pPr>
        <w:shd w:val="clear" w:color="auto" w:fill="FFFFFF"/>
      </w:pPr>
      <w:r>
        <w:rPr>
          <w:b/>
          <w:color w:val="201F1E"/>
          <w:sz w:val="24"/>
          <w:szCs w:val="24"/>
        </w:rPr>
        <w:t>CUSO Wealth Strategies Inc.</w:t>
      </w:r>
      <w:r>
        <w:rPr>
          <w:color w:val="201F1E"/>
          <w:sz w:val="24"/>
          <w:szCs w:val="24"/>
        </w:rPr>
        <w:t xml:space="preserve"> </w:t>
      </w:r>
    </w:p>
    <w:sectPr w:rsidR="003765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A98"/>
    <w:multiLevelType w:val="multilevel"/>
    <w:tmpl w:val="BAB2E3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D6B1BD7"/>
    <w:multiLevelType w:val="multilevel"/>
    <w:tmpl w:val="67F20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7810A81"/>
    <w:multiLevelType w:val="multilevel"/>
    <w:tmpl w:val="52E8F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9718433">
    <w:abstractNumId w:val="0"/>
  </w:num>
  <w:num w:numId="2" w16cid:durableId="568031532">
    <w:abstractNumId w:val="2"/>
  </w:num>
  <w:num w:numId="3" w16cid:durableId="1496801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505"/>
    <w:rsid w:val="00120D73"/>
    <w:rsid w:val="00376505"/>
    <w:rsid w:val="005C35CE"/>
    <w:rsid w:val="009D66AA"/>
    <w:rsid w:val="00B40C06"/>
    <w:rsid w:val="00F35AAC"/>
    <w:rsid w:val="00FD7C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B95D3"/>
  <w15:docId w15:val="{EF5EB597-52D5-5B4C-A706-F93BB928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canada.ca/en/revenue-agency/services/tax/individuals/topics/registered-education-savings-plans-resps/canada-education-savings-programs-cesp/canada-education-savings-grant-cesg.html"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Sheldon Craig</cp:lastModifiedBy>
  <cp:revision>2</cp:revision>
  <dcterms:created xsi:type="dcterms:W3CDTF">2022-08-22T18:07:00Z</dcterms:created>
  <dcterms:modified xsi:type="dcterms:W3CDTF">2022-08-22T18:07:00Z</dcterms:modified>
</cp:coreProperties>
</file>